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074" w:rsidRPr="00637775" w:rsidRDefault="00270074" w:rsidP="00637775">
      <w:pPr>
        <w:pStyle w:val="NoSpacing"/>
        <w:spacing w:line="480" w:lineRule="auto"/>
        <w:rPr>
          <w:rFonts w:ascii="Times New Roman" w:hAnsi="Times New Roman" w:cs="Times New Roman"/>
          <w:sz w:val="24"/>
          <w:szCs w:val="24"/>
        </w:rPr>
      </w:pPr>
    </w:p>
    <w:p w:rsidR="00270074" w:rsidRPr="00637775" w:rsidRDefault="00270074" w:rsidP="00637775">
      <w:pPr>
        <w:pStyle w:val="NoSpacing"/>
        <w:spacing w:line="480" w:lineRule="auto"/>
        <w:rPr>
          <w:rFonts w:ascii="Times New Roman" w:hAnsi="Times New Roman" w:cs="Times New Roman"/>
          <w:sz w:val="24"/>
          <w:szCs w:val="24"/>
        </w:rPr>
      </w:pPr>
    </w:p>
    <w:p w:rsidR="00270074" w:rsidRPr="00637775" w:rsidRDefault="00270074" w:rsidP="00637775">
      <w:pPr>
        <w:pStyle w:val="NoSpacing"/>
        <w:spacing w:line="480" w:lineRule="auto"/>
        <w:rPr>
          <w:rFonts w:ascii="Times New Roman" w:hAnsi="Times New Roman" w:cs="Times New Roman"/>
          <w:sz w:val="24"/>
          <w:szCs w:val="24"/>
        </w:rPr>
      </w:pPr>
    </w:p>
    <w:p w:rsidR="00270074" w:rsidRPr="00637775" w:rsidRDefault="00270074" w:rsidP="00637775">
      <w:pPr>
        <w:pStyle w:val="NoSpacing"/>
        <w:spacing w:line="480" w:lineRule="auto"/>
        <w:rPr>
          <w:rFonts w:ascii="Times New Roman" w:hAnsi="Times New Roman" w:cs="Times New Roman"/>
          <w:sz w:val="24"/>
          <w:szCs w:val="24"/>
        </w:rPr>
      </w:pPr>
    </w:p>
    <w:p w:rsidR="00E34182" w:rsidRPr="00637775" w:rsidRDefault="00270074" w:rsidP="00637775">
      <w:pPr>
        <w:pStyle w:val="NoSpacing"/>
        <w:spacing w:line="480" w:lineRule="auto"/>
        <w:jc w:val="center"/>
        <w:rPr>
          <w:rFonts w:ascii="Times New Roman" w:hAnsi="Times New Roman" w:cs="Times New Roman"/>
          <w:sz w:val="24"/>
          <w:szCs w:val="24"/>
        </w:rPr>
      </w:pPr>
      <w:r w:rsidRPr="00637775">
        <w:rPr>
          <w:rFonts w:ascii="Times New Roman" w:hAnsi="Times New Roman" w:cs="Times New Roman"/>
          <w:sz w:val="24"/>
          <w:szCs w:val="24"/>
        </w:rPr>
        <w:t>Graduate Course Discussion</w:t>
      </w:r>
    </w:p>
    <w:p w:rsidR="00270074" w:rsidRPr="00637775" w:rsidRDefault="00270074" w:rsidP="00637775">
      <w:pPr>
        <w:pStyle w:val="NoSpacing"/>
        <w:spacing w:line="480" w:lineRule="auto"/>
        <w:jc w:val="center"/>
        <w:rPr>
          <w:rFonts w:ascii="Times New Roman" w:hAnsi="Times New Roman" w:cs="Times New Roman"/>
          <w:sz w:val="24"/>
          <w:szCs w:val="24"/>
        </w:rPr>
      </w:pPr>
      <w:r w:rsidRPr="00637775">
        <w:rPr>
          <w:rFonts w:ascii="Times New Roman" w:hAnsi="Times New Roman" w:cs="Times New Roman"/>
          <w:sz w:val="24"/>
          <w:szCs w:val="24"/>
        </w:rPr>
        <w:t>Student’s Name</w:t>
      </w:r>
    </w:p>
    <w:p w:rsidR="00270074" w:rsidRPr="00637775" w:rsidRDefault="00270074" w:rsidP="00637775">
      <w:pPr>
        <w:pStyle w:val="NoSpacing"/>
        <w:spacing w:line="480" w:lineRule="auto"/>
        <w:jc w:val="center"/>
        <w:rPr>
          <w:rFonts w:ascii="Times New Roman" w:hAnsi="Times New Roman" w:cs="Times New Roman"/>
          <w:sz w:val="24"/>
          <w:szCs w:val="24"/>
        </w:rPr>
      </w:pPr>
      <w:r w:rsidRPr="00637775">
        <w:rPr>
          <w:rFonts w:ascii="Times New Roman" w:hAnsi="Times New Roman" w:cs="Times New Roman"/>
          <w:sz w:val="24"/>
          <w:szCs w:val="24"/>
        </w:rPr>
        <w:t>Institutional Affiliation</w:t>
      </w:r>
    </w:p>
    <w:p w:rsidR="00270074" w:rsidRPr="00637775" w:rsidRDefault="00270074" w:rsidP="00637775">
      <w:pPr>
        <w:pStyle w:val="NoSpacing"/>
        <w:spacing w:line="480" w:lineRule="auto"/>
        <w:jc w:val="center"/>
        <w:rPr>
          <w:rFonts w:ascii="Times New Roman" w:hAnsi="Times New Roman" w:cs="Times New Roman"/>
          <w:sz w:val="24"/>
          <w:szCs w:val="24"/>
        </w:rPr>
      </w:pPr>
      <w:r w:rsidRPr="00637775">
        <w:rPr>
          <w:rFonts w:ascii="Times New Roman" w:hAnsi="Times New Roman" w:cs="Times New Roman"/>
          <w:sz w:val="24"/>
          <w:szCs w:val="24"/>
        </w:rPr>
        <w:t>Date</w:t>
      </w:r>
    </w:p>
    <w:p w:rsidR="00270074" w:rsidRPr="00637775" w:rsidRDefault="00270074" w:rsidP="00637775">
      <w:pPr>
        <w:pStyle w:val="NoSpacing"/>
        <w:spacing w:line="480" w:lineRule="auto"/>
        <w:jc w:val="center"/>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rPr>
          <w:rFonts w:ascii="Times New Roman" w:hAnsi="Times New Roman" w:cs="Times New Roman"/>
          <w:sz w:val="24"/>
          <w:szCs w:val="24"/>
        </w:rPr>
      </w:pPr>
    </w:p>
    <w:p w:rsidR="00C96FD6" w:rsidRPr="00637775" w:rsidRDefault="00C96FD6" w:rsidP="00637775">
      <w:pPr>
        <w:pStyle w:val="NoSpacing"/>
        <w:spacing w:line="480" w:lineRule="auto"/>
        <w:jc w:val="center"/>
        <w:rPr>
          <w:rFonts w:ascii="Times New Roman" w:hAnsi="Times New Roman" w:cs="Times New Roman"/>
          <w:sz w:val="24"/>
          <w:szCs w:val="24"/>
        </w:rPr>
      </w:pPr>
      <w:r w:rsidRPr="00637775">
        <w:rPr>
          <w:rFonts w:ascii="Times New Roman" w:hAnsi="Times New Roman" w:cs="Times New Roman"/>
          <w:sz w:val="24"/>
          <w:szCs w:val="24"/>
        </w:rPr>
        <w:lastRenderedPageBreak/>
        <w:t>Graduate Course Discussion</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The competitive bid and scale source justification process</w:t>
      </w:r>
    </w:p>
    <w:p w:rsidR="00637775" w:rsidRPr="00637775" w:rsidRDefault="00637775" w:rsidP="00637775">
      <w:pPr>
        <w:pStyle w:val="NoSpacing"/>
        <w:spacing w:line="480" w:lineRule="auto"/>
        <w:ind w:firstLine="720"/>
        <w:rPr>
          <w:rFonts w:ascii="Times New Roman" w:hAnsi="Times New Roman" w:cs="Times New Roman"/>
          <w:sz w:val="24"/>
          <w:szCs w:val="24"/>
        </w:rPr>
      </w:pPr>
      <w:r w:rsidRPr="00637775">
        <w:rPr>
          <w:rFonts w:ascii="Times New Roman" w:hAnsi="Times New Roman" w:cs="Times New Roman"/>
          <w:sz w:val="24"/>
          <w:szCs w:val="24"/>
        </w:rPr>
        <w:t xml:space="preserve">Competitive bid </w:t>
      </w:r>
      <w:r>
        <w:rPr>
          <w:rFonts w:ascii="Times New Roman" w:hAnsi="Times New Roman" w:cs="Times New Roman"/>
          <w:sz w:val="24"/>
          <w:szCs w:val="24"/>
        </w:rPr>
        <w:t xml:space="preserve">is </w:t>
      </w:r>
      <w:r w:rsidRPr="00637775">
        <w:rPr>
          <w:rFonts w:ascii="Times New Roman" w:hAnsi="Times New Roman" w:cs="Times New Roman"/>
          <w:sz w:val="24"/>
          <w:szCs w:val="24"/>
        </w:rPr>
        <w:t>among the procedures contained in the procurement steps. The underwriter prepares a sealed bid then submits it to the company.  The company then collects several competitive bids from various underwriters who are showing interests (</w:t>
      </w:r>
      <w:proofErr w:type="spellStart"/>
      <w:r w:rsidRPr="00637775">
        <w:rPr>
          <w:rFonts w:ascii="Times New Roman" w:hAnsi="Times New Roman" w:cs="Times New Roman"/>
          <w:sz w:val="24"/>
          <w:szCs w:val="24"/>
        </w:rPr>
        <w:t>Papavasiliou</w:t>
      </w:r>
      <w:proofErr w:type="spellEnd"/>
      <w:r w:rsidRPr="00637775">
        <w:rPr>
          <w:rFonts w:ascii="Times New Roman" w:hAnsi="Times New Roman" w:cs="Times New Roman"/>
          <w:sz w:val="24"/>
          <w:szCs w:val="24"/>
        </w:rPr>
        <w:t xml:space="preserve"> &amp; Oren, 2014). The underwriter with the most favorable contract terms and price wins the contract. Procurement must follow some logical order and steps to reach its final justification. As argued by </w:t>
      </w:r>
      <w:proofErr w:type="spellStart"/>
      <w:r w:rsidRPr="00637775">
        <w:rPr>
          <w:rFonts w:ascii="Times New Roman" w:hAnsi="Times New Roman" w:cs="Times New Roman"/>
          <w:sz w:val="24"/>
          <w:szCs w:val="24"/>
        </w:rPr>
        <w:t>Papavasiliou</w:t>
      </w:r>
      <w:proofErr w:type="spellEnd"/>
      <w:r w:rsidRPr="00637775">
        <w:rPr>
          <w:rFonts w:ascii="Times New Roman" w:hAnsi="Times New Roman" w:cs="Times New Roman"/>
          <w:sz w:val="24"/>
          <w:szCs w:val="24"/>
        </w:rPr>
        <w:t xml:space="preserve"> and Oren (2014), the need and plan for the contact should come first. All the list of requirements needed for the contract goes to the sellers where most of them are expected to bid for a chance. The best one chosen receives and signs for the contact. The work begins immediately accompanied by several supervisions to ensure that well management of the terms, conditions and contract changes that may arise. The final step involves the closing of the contract where the paperwork is filled to mark the end of the deal after the work is completed (</w:t>
      </w:r>
      <w:proofErr w:type="spellStart"/>
      <w:r w:rsidRPr="00637775">
        <w:rPr>
          <w:rFonts w:ascii="Times New Roman" w:hAnsi="Times New Roman" w:cs="Times New Roman"/>
          <w:sz w:val="24"/>
          <w:szCs w:val="24"/>
        </w:rPr>
        <w:t>Papavasiliou</w:t>
      </w:r>
      <w:proofErr w:type="spellEnd"/>
      <w:r w:rsidRPr="00637775">
        <w:rPr>
          <w:rFonts w:ascii="Times New Roman" w:hAnsi="Times New Roman" w:cs="Times New Roman"/>
          <w:sz w:val="24"/>
          <w:szCs w:val="24"/>
        </w:rPr>
        <w:t xml:space="preserve"> &amp; Oren, 2014).</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Roles of Competitive Bidding and Sole Source in Ford Motor Company was building the Crown Victoria Police Special</w:t>
      </w:r>
    </w:p>
    <w:p w:rsidR="00637775" w:rsidRPr="00637775" w:rsidRDefault="00637775" w:rsidP="00637775">
      <w:pPr>
        <w:pStyle w:val="NoSpacing"/>
        <w:spacing w:line="480" w:lineRule="auto"/>
        <w:ind w:firstLine="720"/>
        <w:rPr>
          <w:rFonts w:ascii="Times New Roman" w:hAnsi="Times New Roman" w:cs="Times New Roman"/>
          <w:sz w:val="24"/>
          <w:szCs w:val="24"/>
        </w:rPr>
      </w:pPr>
      <w:proofErr w:type="spellStart"/>
      <w:r w:rsidRPr="00637775">
        <w:rPr>
          <w:rFonts w:ascii="Times New Roman" w:hAnsi="Times New Roman" w:cs="Times New Roman"/>
          <w:sz w:val="24"/>
          <w:szCs w:val="24"/>
        </w:rPr>
        <w:t>Anastakis</w:t>
      </w:r>
      <w:proofErr w:type="spellEnd"/>
      <w:r w:rsidRPr="00637775">
        <w:rPr>
          <w:rFonts w:ascii="Times New Roman" w:hAnsi="Times New Roman" w:cs="Times New Roman"/>
          <w:sz w:val="24"/>
          <w:szCs w:val="24"/>
        </w:rPr>
        <w:t xml:space="preserve"> (2017), states that Sole source is the opposite of competitive bidding.  With sole source procurement, one company wins the contract automatically without facing competition from other companies. A company can justify itself as the best producer and can fulfill all the requirements needed by its clients. Competitive bidding and sole source play an essential role in the procurement world as the companies try to deliver their best so that the can win more contracts in this competitive market today. According to </w:t>
      </w:r>
      <w:proofErr w:type="spellStart"/>
      <w:r w:rsidRPr="00637775">
        <w:rPr>
          <w:rFonts w:ascii="Times New Roman" w:hAnsi="Times New Roman" w:cs="Times New Roman"/>
          <w:sz w:val="24"/>
          <w:szCs w:val="24"/>
        </w:rPr>
        <w:t>Anastakis</w:t>
      </w:r>
      <w:proofErr w:type="spellEnd"/>
      <w:r w:rsidRPr="00637775">
        <w:rPr>
          <w:rFonts w:ascii="Times New Roman" w:hAnsi="Times New Roman" w:cs="Times New Roman"/>
          <w:sz w:val="24"/>
          <w:szCs w:val="24"/>
        </w:rPr>
        <w:t xml:space="preserve"> (2017), this was witnessed when ford motor company was building the Crown Victoria Police Special, one of the </w:t>
      </w:r>
      <w:r w:rsidRPr="00637775">
        <w:rPr>
          <w:rFonts w:ascii="Times New Roman" w:hAnsi="Times New Roman" w:cs="Times New Roman"/>
          <w:sz w:val="24"/>
          <w:szCs w:val="24"/>
        </w:rPr>
        <w:lastRenderedPageBreak/>
        <w:t xml:space="preserve">company's most excellent </w:t>
      </w:r>
      <w:r w:rsidR="00EE7D78" w:rsidRPr="00637775">
        <w:rPr>
          <w:rFonts w:ascii="Times New Roman" w:hAnsi="Times New Roman" w:cs="Times New Roman"/>
          <w:sz w:val="24"/>
          <w:szCs w:val="24"/>
        </w:rPr>
        <w:t>products</w:t>
      </w:r>
      <w:r w:rsidRPr="00637775">
        <w:rPr>
          <w:rFonts w:ascii="Times New Roman" w:hAnsi="Times New Roman" w:cs="Times New Roman"/>
          <w:sz w:val="24"/>
          <w:szCs w:val="24"/>
        </w:rPr>
        <w:t xml:space="preserve"> selling worldwide. The vehicle is equipped with an axle ratio that is approximated to be (128mph) 206km/hr. Ford Company ensured that all the equipment they procured for when developing this vehicle was standard including the engine. Due to this quality engine, the vehicle can attain fast acceleration and high speed required for police service (</w:t>
      </w:r>
      <w:proofErr w:type="spellStart"/>
      <w:r w:rsidRPr="00637775">
        <w:rPr>
          <w:rFonts w:ascii="Times New Roman" w:hAnsi="Times New Roman" w:cs="Times New Roman"/>
          <w:sz w:val="24"/>
          <w:szCs w:val="24"/>
        </w:rPr>
        <w:t>Anastakis</w:t>
      </w:r>
      <w:proofErr w:type="spellEnd"/>
      <w:r w:rsidRPr="00637775">
        <w:rPr>
          <w:rFonts w:ascii="Times New Roman" w:hAnsi="Times New Roman" w:cs="Times New Roman"/>
          <w:sz w:val="24"/>
          <w:szCs w:val="24"/>
        </w:rPr>
        <w:t>, 2017).</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Advantages and disadvantages of cost-benefit analysis</w:t>
      </w:r>
    </w:p>
    <w:p w:rsidR="00637775" w:rsidRPr="00637775" w:rsidRDefault="00637775" w:rsidP="00637775">
      <w:pPr>
        <w:pStyle w:val="NoSpacing"/>
        <w:spacing w:line="480" w:lineRule="auto"/>
        <w:ind w:firstLine="720"/>
        <w:rPr>
          <w:rFonts w:ascii="Times New Roman" w:hAnsi="Times New Roman" w:cs="Times New Roman"/>
          <w:sz w:val="24"/>
          <w:szCs w:val="24"/>
        </w:rPr>
      </w:pPr>
      <w:proofErr w:type="spellStart"/>
      <w:r w:rsidRPr="00637775">
        <w:rPr>
          <w:rFonts w:ascii="Times New Roman" w:hAnsi="Times New Roman" w:cs="Times New Roman"/>
          <w:sz w:val="24"/>
          <w:szCs w:val="24"/>
        </w:rPr>
        <w:t>Nas</w:t>
      </w:r>
      <w:proofErr w:type="spellEnd"/>
      <w:r w:rsidRPr="00637775">
        <w:rPr>
          <w:rFonts w:ascii="Times New Roman" w:hAnsi="Times New Roman" w:cs="Times New Roman"/>
          <w:sz w:val="24"/>
          <w:szCs w:val="24"/>
        </w:rPr>
        <w:t xml:space="preserve"> (2016), states that cost-benefit analysis is an examination involving the comparison between what is spend and what gained or achieved regarding profit or loss. It is through this evaluation that we notice its social benefits and the limitations. Most importantly, it provides an opportunity for listing the cost of what is importantly required providing a specific value of the expenditure.  According to </w:t>
      </w:r>
      <w:proofErr w:type="spellStart"/>
      <w:r w:rsidRPr="00637775">
        <w:rPr>
          <w:rFonts w:ascii="Times New Roman" w:hAnsi="Times New Roman" w:cs="Times New Roman"/>
          <w:sz w:val="24"/>
          <w:szCs w:val="24"/>
        </w:rPr>
        <w:t>Nas</w:t>
      </w:r>
      <w:proofErr w:type="spellEnd"/>
      <w:r w:rsidRPr="00637775">
        <w:rPr>
          <w:rFonts w:ascii="Times New Roman" w:hAnsi="Times New Roman" w:cs="Times New Roman"/>
          <w:sz w:val="24"/>
          <w:szCs w:val="24"/>
        </w:rPr>
        <w:t xml:space="preserve"> (2016), this cost is just the predicted cost since it is impossible to predict the amount of all the expense required correctly. Secondly, it ensures that the decision made before the procurement is rational and not emotional decisions. Making cost decisions based on instincts may not be a wrong approach, but it is better when more knowledge concerning the cost. Concerning its limitations, cost benefits may make one to develop an informed decision only to encounter some variables after some time. Furthermore, it may provide an illusion that all the bases are covered yet there is more left out (</w:t>
      </w:r>
      <w:proofErr w:type="spellStart"/>
      <w:r w:rsidRPr="00637775">
        <w:rPr>
          <w:rFonts w:ascii="Times New Roman" w:hAnsi="Times New Roman" w:cs="Times New Roman"/>
          <w:sz w:val="24"/>
          <w:szCs w:val="24"/>
        </w:rPr>
        <w:t>Nas</w:t>
      </w:r>
      <w:proofErr w:type="spellEnd"/>
      <w:r w:rsidRPr="00637775">
        <w:rPr>
          <w:rFonts w:ascii="Times New Roman" w:hAnsi="Times New Roman" w:cs="Times New Roman"/>
          <w:sz w:val="24"/>
          <w:szCs w:val="24"/>
        </w:rPr>
        <w:t>, 2016).</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 xml:space="preserve">Why narrative, detail schedules and cumulative schedule </w:t>
      </w:r>
      <w:r w:rsidR="00EE7D78">
        <w:rPr>
          <w:rFonts w:ascii="Times New Roman" w:hAnsi="Times New Roman" w:cs="Times New Roman"/>
          <w:b/>
          <w:sz w:val="24"/>
          <w:szCs w:val="24"/>
        </w:rPr>
        <w:t xml:space="preserve">are </w:t>
      </w:r>
      <w:r w:rsidRPr="00637775">
        <w:rPr>
          <w:rFonts w:ascii="Times New Roman" w:hAnsi="Times New Roman" w:cs="Times New Roman"/>
          <w:b/>
          <w:sz w:val="24"/>
          <w:szCs w:val="24"/>
        </w:rPr>
        <w:t>considered as three critical pieces of an agency's budget proposal</w:t>
      </w:r>
    </w:p>
    <w:p w:rsidR="00637775" w:rsidRPr="00637775" w:rsidRDefault="00637775" w:rsidP="00637775">
      <w:pPr>
        <w:pStyle w:val="NoSpacing"/>
        <w:spacing w:line="480" w:lineRule="auto"/>
        <w:ind w:firstLine="720"/>
        <w:rPr>
          <w:rFonts w:ascii="Times New Roman" w:hAnsi="Times New Roman" w:cs="Times New Roman"/>
          <w:sz w:val="24"/>
          <w:szCs w:val="24"/>
        </w:rPr>
      </w:pPr>
      <w:r w:rsidRPr="00637775">
        <w:rPr>
          <w:rFonts w:ascii="Times New Roman" w:hAnsi="Times New Roman" w:cs="Times New Roman"/>
          <w:sz w:val="24"/>
          <w:szCs w:val="24"/>
        </w:rPr>
        <w:t xml:space="preserve">Just like detail schedule and increasing schedule, Budget narrative also known as budget justification helps in justification of all the expenses needed by a company to achieve the objectives and aims of a given project (Franck, Hildebrandt &amp; Udis, 2016). They provide estimated future revenue, resources and costs over a given period such as yearly. The companies </w:t>
      </w:r>
      <w:r w:rsidRPr="00637775">
        <w:rPr>
          <w:rFonts w:ascii="Times New Roman" w:hAnsi="Times New Roman" w:cs="Times New Roman"/>
          <w:sz w:val="24"/>
          <w:szCs w:val="24"/>
        </w:rPr>
        <w:lastRenderedPageBreak/>
        <w:t>and business can prepare and plan for future budgets. For instance, a budget for the following year can be made in advance before the New Year begins. Franck, Hildebrandt, and Udis (2016), states that this depends on the company's instruction concerning their budget and the kind of project they want to carry out. There are a lot of benefits for this future planning and proposal. It provides a chance for making continuous progress in business. It also provides a problem solution. It leads to better decision making since it helps the manager to develop a lot of confidence. It improves focus and clarity. Since it saves on time, the manager focuses more on important issues such as ways of reducing costs and increasing profits and investment returns (Franck, Hildebrandt &amp; Udis, 2016).</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Reasons why object class is considered as the beginning of any budget cost estimation regardless of eventual focus on department, task cost center or program outcome</w:t>
      </w:r>
    </w:p>
    <w:p w:rsidR="00637775" w:rsidRPr="00637775" w:rsidRDefault="00637775" w:rsidP="00637775">
      <w:pPr>
        <w:pStyle w:val="NoSpacing"/>
        <w:spacing w:line="480" w:lineRule="auto"/>
        <w:ind w:firstLine="720"/>
        <w:rPr>
          <w:rFonts w:ascii="Times New Roman" w:hAnsi="Times New Roman" w:cs="Times New Roman"/>
          <w:sz w:val="24"/>
          <w:szCs w:val="24"/>
        </w:rPr>
      </w:pPr>
      <w:r w:rsidRPr="00637775">
        <w:rPr>
          <w:rFonts w:ascii="Times New Roman" w:hAnsi="Times New Roman" w:cs="Times New Roman"/>
          <w:sz w:val="24"/>
          <w:szCs w:val="24"/>
        </w:rPr>
        <w:t xml:space="preserve">When preparing any budget, it is essential to first consider the cost estimate, the approximated cost of project, program, operation or project. Therefore object class is necessary as it gives a range containing the minimum the maximum amount of money the object can cost (Kerzner &amp; Kerzner, 2017). After the range is determined, it is now easier to predict actual expenditure required for the operations or the project. There are estimation costs techniques that can be applied. It is essential that estimation can both be done for the current and future purchase. For the planned acquisition, it is important to consider using the object class due to inflation. As stated by Kerzner and Kerzner (2017), the value of the cost of the product may change after some period. For that reason, it is essential to work with the range. Concerning the techniques of cost estimation, parametric technology is the most common one.  The cost of the </w:t>
      </w:r>
      <w:r w:rsidRPr="00637775">
        <w:rPr>
          <w:rFonts w:ascii="Times New Roman" w:hAnsi="Times New Roman" w:cs="Times New Roman"/>
          <w:sz w:val="24"/>
          <w:szCs w:val="24"/>
        </w:rPr>
        <w:lastRenderedPageBreak/>
        <w:t>products is estimated in consideration of the statistical methods and regression (Kerzner &amp; Kerzner, 2017).</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Direct and indirect expenses, why it is essential to distinguish the two factors</w:t>
      </w:r>
    </w:p>
    <w:p w:rsidR="00637775" w:rsidRPr="00637775" w:rsidRDefault="00637775" w:rsidP="00637775">
      <w:pPr>
        <w:pStyle w:val="NoSpacing"/>
        <w:spacing w:line="480" w:lineRule="auto"/>
        <w:ind w:firstLine="720"/>
        <w:rPr>
          <w:rFonts w:ascii="Times New Roman" w:hAnsi="Times New Roman" w:cs="Times New Roman"/>
          <w:sz w:val="24"/>
          <w:szCs w:val="24"/>
        </w:rPr>
      </w:pPr>
      <w:r w:rsidRPr="00637775">
        <w:rPr>
          <w:rFonts w:ascii="Times New Roman" w:hAnsi="Times New Roman" w:cs="Times New Roman"/>
          <w:sz w:val="24"/>
          <w:szCs w:val="24"/>
        </w:rPr>
        <w:t>According to Roche et al. (2015), direct expenses are the expenses that directly relate to the cost of the product purchased or the service offered in a business setting. For example, when a company has manufactured a product, the value of the material assigned is a direct expense. Indirect expenses are the amounts of money spend daily during the operation of the business. They do not relate to the sales of the products since they do not add to the product's cost. They classified into the recurring indirect cost and fixed indirect expenses.  Recurring are those repeatedly paid such as insurance and rentals while fixed expenses remain unchanged for the given period of the project (Roche et al., 2015). It is essential to properly keep financial records on direct and indirect expenses for business success. Documents of indirect expenses are necessary as they involve tax deductions and help the business remain tax compliant as stipulated by the law. Even though indirect expenses such as insurance are placed in specific places such as walls, both the records are important as they may attract investors who may like to invest in your business (Roche et al., 2015).</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Different purposes of the fund-based and government-wide financial statements of a state of local government</w:t>
      </w:r>
    </w:p>
    <w:p w:rsidR="00637775" w:rsidRPr="00637775" w:rsidRDefault="00637775" w:rsidP="00637775">
      <w:pPr>
        <w:pStyle w:val="NoSpacing"/>
        <w:spacing w:line="480" w:lineRule="auto"/>
        <w:ind w:firstLine="720"/>
        <w:rPr>
          <w:rFonts w:ascii="Times New Roman" w:hAnsi="Times New Roman" w:cs="Times New Roman"/>
          <w:sz w:val="24"/>
          <w:szCs w:val="24"/>
        </w:rPr>
      </w:pPr>
      <w:r w:rsidRPr="00637775">
        <w:rPr>
          <w:rFonts w:ascii="Times New Roman" w:hAnsi="Times New Roman" w:cs="Times New Roman"/>
          <w:sz w:val="24"/>
          <w:szCs w:val="24"/>
        </w:rPr>
        <w:t xml:space="preserve">Financial statements are the fund balance statements and reports involving changes, expenditure and revenues Government finance are obtained the public funds, and therefore they are closely watched. Therefore government financial statements include all the yearly government transactions. As argued by Reck, and Wilson (2014), these statements show the accountability and transparency on how the government funds are spent every year in both local </w:t>
      </w:r>
      <w:r w:rsidRPr="00637775">
        <w:rPr>
          <w:rFonts w:ascii="Times New Roman" w:hAnsi="Times New Roman" w:cs="Times New Roman"/>
          <w:sz w:val="24"/>
          <w:szCs w:val="24"/>
        </w:rPr>
        <w:lastRenderedPageBreak/>
        <w:t>and state level of government. These funds originate from the federal government, and they have not obtained the income. According to Reck and Wilson (2014), there are four types of governmental fund. The first one is debt service fund meant for paying the debts. General fund accounts for any activity or anything that not countered for in the original budget. Special revenues funds are for specific purposes such as road constructions and repair. The permanent fund is allocated for new stable and new projects. The last one is capital project funds set aside for renovations, purchasing, and constructions. The government statement of net assets involves the difference between government assets and liabilities (Reck &amp; Wilson, 2014).</w:t>
      </w:r>
    </w:p>
    <w:p w:rsidR="00637775" w:rsidRPr="00637775" w:rsidRDefault="00637775" w:rsidP="00EE7D78">
      <w:pPr>
        <w:pStyle w:val="NoSpacing"/>
        <w:numPr>
          <w:ilvl w:val="0"/>
          <w:numId w:val="2"/>
        </w:numPr>
        <w:spacing w:line="480" w:lineRule="auto"/>
        <w:rPr>
          <w:rFonts w:ascii="Times New Roman" w:hAnsi="Times New Roman" w:cs="Times New Roman"/>
          <w:b/>
          <w:sz w:val="24"/>
          <w:szCs w:val="24"/>
        </w:rPr>
      </w:pPr>
      <w:r w:rsidRPr="00637775">
        <w:rPr>
          <w:rFonts w:ascii="Times New Roman" w:hAnsi="Times New Roman" w:cs="Times New Roman"/>
          <w:b/>
          <w:sz w:val="24"/>
          <w:szCs w:val="24"/>
        </w:rPr>
        <w:t>Importance of reliability when dealing with electronic devices such as anti-intrusion and computerized card access control systems</w:t>
      </w:r>
    </w:p>
    <w:p w:rsidR="00637775" w:rsidRDefault="00637775" w:rsidP="00637775">
      <w:pPr>
        <w:pStyle w:val="NoSpacing"/>
        <w:spacing w:line="480" w:lineRule="auto"/>
        <w:ind w:firstLine="720"/>
        <w:rPr>
          <w:rFonts w:ascii="Times New Roman" w:hAnsi="Times New Roman" w:cs="Times New Roman"/>
          <w:sz w:val="24"/>
          <w:szCs w:val="24"/>
        </w:rPr>
      </w:pPr>
      <w:r w:rsidRPr="00637775">
        <w:rPr>
          <w:rFonts w:ascii="Times New Roman" w:hAnsi="Times New Roman" w:cs="Times New Roman"/>
          <w:sz w:val="24"/>
          <w:szCs w:val="24"/>
        </w:rPr>
        <w:t xml:space="preserve">It is important to note that access control devices involve restrictions where a few selected numbers of people are authorized to access the place. Apart from physical access control, there is also logical access control limits (Burns &amp; LeClair, 2016). Logical access involves computer network connections where an individual must have the logins credentials such as the password to access some information, data or files. It is therefore essential to find a reliable individual who will, in turn, increase the reliability of the place. When the safety of the area is higher, it means that the situation is safer. A person who is more reliable cannot share the computer credentials such as passwords to anyone who is unauthorized to access the site (Burns, &amp; LeClair, 2016). Reliable people are known to keep their promises and work within the code of ethics require for their jobs. They see their job to be more important than anything and anybody else. As stated by Burns and LeClair, (2016), this increases the access control. </w:t>
      </w:r>
    </w:p>
    <w:p w:rsidR="00637775" w:rsidRDefault="00637775" w:rsidP="00EE7D78">
      <w:pPr>
        <w:pStyle w:val="NoSpacing"/>
        <w:spacing w:line="480" w:lineRule="auto"/>
        <w:rPr>
          <w:rFonts w:ascii="Times New Roman" w:hAnsi="Times New Roman" w:cs="Times New Roman"/>
          <w:sz w:val="24"/>
          <w:szCs w:val="24"/>
        </w:rPr>
      </w:pPr>
    </w:p>
    <w:p w:rsidR="00EE7D78" w:rsidRPr="00637775" w:rsidRDefault="00EE7D78" w:rsidP="00EE7D78">
      <w:pPr>
        <w:pStyle w:val="NoSpacing"/>
        <w:spacing w:line="480" w:lineRule="auto"/>
        <w:rPr>
          <w:rFonts w:ascii="Times New Roman" w:hAnsi="Times New Roman" w:cs="Times New Roman"/>
          <w:sz w:val="24"/>
          <w:szCs w:val="24"/>
        </w:rPr>
      </w:pPr>
      <w:bookmarkStart w:id="0" w:name="_GoBack"/>
      <w:bookmarkEnd w:id="0"/>
    </w:p>
    <w:p w:rsidR="00637775" w:rsidRPr="00637775" w:rsidRDefault="00637775" w:rsidP="00637775">
      <w:pPr>
        <w:pStyle w:val="NoSpacing"/>
        <w:spacing w:line="480" w:lineRule="auto"/>
        <w:jc w:val="center"/>
        <w:rPr>
          <w:rFonts w:ascii="Times New Roman" w:hAnsi="Times New Roman" w:cs="Times New Roman"/>
          <w:sz w:val="24"/>
          <w:szCs w:val="24"/>
        </w:rPr>
      </w:pPr>
      <w:r w:rsidRPr="00637775">
        <w:rPr>
          <w:rFonts w:ascii="Times New Roman" w:hAnsi="Times New Roman" w:cs="Times New Roman"/>
          <w:sz w:val="24"/>
          <w:szCs w:val="24"/>
        </w:rPr>
        <w:lastRenderedPageBreak/>
        <w:t>References</w:t>
      </w:r>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spellStart"/>
      <w:r w:rsidRPr="00637775">
        <w:rPr>
          <w:rFonts w:ascii="Times New Roman" w:hAnsi="Times New Roman" w:cs="Times New Roman"/>
          <w:sz w:val="24"/>
          <w:szCs w:val="24"/>
        </w:rPr>
        <w:t>Anastakis</w:t>
      </w:r>
      <w:proofErr w:type="spellEnd"/>
      <w:r w:rsidRPr="00637775">
        <w:rPr>
          <w:rFonts w:ascii="Times New Roman" w:hAnsi="Times New Roman" w:cs="Times New Roman"/>
          <w:sz w:val="24"/>
          <w:szCs w:val="24"/>
        </w:rPr>
        <w:t xml:space="preserve">, D. (2017). Access to Markets, Investment, </w:t>
      </w:r>
      <w:proofErr w:type="spellStart"/>
      <w:r w:rsidRPr="00637775">
        <w:rPr>
          <w:rFonts w:ascii="Times New Roman" w:hAnsi="Times New Roman" w:cs="Times New Roman"/>
          <w:sz w:val="24"/>
          <w:szCs w:val="24"/>
        </w:rPr>
        <w:t>Continentalization</w:t>
      </w:r>
      <w:proofErr w:type="spellEnd"/>
      <w:r w:rsidRPr="00637775">
        <w:rPr>
          <w:rFonts w:ascii="Times New Roman" w:hAnsi="Times New Roman" w:cs="Times New Roman"/>
          <w:sz w:val="24"/>
          <w:szCs w:val="24"/>
        </w:rPr>
        <w:t xml:space="preserve"> and Competitiveness: The Evolution of the Canadian Auto Sector. In Industries and Global Competition (pp. 47-67). </w:t>
      </w:r>
      <w:proofErr w:type="gramStart"/>
      <w:r w:rsidRPr="00637775">
        <w:rPr>
          <w:rFonts w:ascii="Times New Roman" w:hAnsi="Times New Roman" w:cs="Times New Roman"/>
          <w:sz w:val="24"/>
          <w:szCs w:val="24"/>
        </w:rPr>
        <w:t>Routledge.</w:t>
      </w:r>
      <w:proofErr w:type="gramEnd"/>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gramStart"/>
      <w:r w:rsidRPr="00637775">
        <w:rPr>
          <w:rFonts w:ascii="Times New Roman" w:hAnsi="Times New Roman" w:cs="Times New Roman"/>
          <w:sz w:val="24"/>
          <w:szCs w:val="24"/>
        </w:rPr>
        <w:t>Burns, M. S., &amp; LeClair, J. (2016).</w:t>
      </w:r>
      <w:proofErr w:type="gramEnd"/>
      <w:r w:rsidRPr="00637775">
        <w:rPr>
          <w:rFonts w:ascii="Times New Roman" w:hAnsi="Times New Roman" w:cs="Times New Roman"/>
          <w:sz w:val="24"/>
          <w:szCs w:val="24"/>
        </w:rPr>
        <w:t xml:space="preserve"> </w:t>
      </w:r>
      <w:proofErr w:type="gramStart"/>
      <w:r w:rsidRPr="00637775">
        <w:rPr>
          <w:rFonts w:ascii="Times New Roman" w:hAnsi="Times New Roman" w:cs="Times New Roman"/>
          <w:sz w:val="24"/>
          <w:szCs w:val="24"/>
        </w:rPr>
        <w:t>Cybersecurity and Infrastructure Protection.</w:t>
      </w:r>
      <w:proofErr w:type="gramEnd"/>
      <w:r w:rsidRPr="00637775">
        <w:rPr>
          <w:rFonts w:ascii="Times New Roman" w:hAnsi="Times New Roman" w:cs="Times New Roman"/>
          <w:sz w:val="24"/>
          <w:szCs w:val="24"/>
        </w:rPr>
        <w:t xml:space="preserve"> </w:t>
      </w:r>
      <w:proofErr w:type="spellStart"/>
      <w:proofErr w:type="gramStart"/>
      <w:r w:rsidRPr="00637775">
        <w:rPr>
          <w:rFonts w:ascii="Times New Roman" w:hAnsi="Times New Roman" w:cs="Times New Roman"/>
          <w:sz w:val="24"/>
          <w:szCs w:val="24"/>
        </w:rPr>
        <w:t>BookBaby</w:t>
      </w:r>
      <w:proofErr w:type="spellEnd"/>
      <w:r w:rsidRPr="00637775">
        <w:rPr>
          <w:rFonts w:ascii="Times New Roman" w:hAnsi="Times New Roman" w:cs="Times New Roman"/>
          <w:sz w:val="24"/>
          <w:szCs w:val="24"/>
        </w:rPr>
        <w:t>.</w:t>
      </w:r>
      <w:proofErr w:type="gramEnd"/>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gramStart"/>
      <w:r w:rsidRPr="00637775">
        <w:rPr>
          <w:rFonts w:ascii="Times New Roman" w:hAnsi="Times New Roman" w:cs="Times New Roman"/>
          <w:sz w:val="24"/>
          <w:szCs w:val="24"/>
        </w:rPr>
        <w:t>Franck, R., Hildebrandt, G., &amp; Udis, B. (2016).</w:t>
      </w:r>
      <w:proofErr w:type="gramEnd"/>
      <w:r w:rsidRPr="00637775">
        <w:rPr>
          <w:rFonts w:ascii="Times New Roman" w:hAnsi="Times New Roman" w:cs="Times New Roman"/>
          <w:sz w:val="24"/>
          <w:szCs w:val="24"/>
        </w:rPr>
        <w:t xml:space="preserve"> </w:t>
      </w:r>
      <w:proofErr w:type="gramStart"/>
      <w:r w:rsidRPr="00637775">
        <w:rPr>
          <w:rFonts w:ascii="Times New Roman" w:hAnsi="Times New Roman" w:cs="Times New Roman"/>
          <w:sz w:val="24"/>
          <w:szCs w:val="24"/>
        </w:rPr>
        <w:t>Toward realistic acquisition schedule estimates.</w:t>
      </w:r>
      <w:proofErr w:type="gramEnd"/>
      <w:r w:rsidRPr="00637775">
        <w:rPr>
          <w:rFonts w:ascii="Times New Roman" w:hAnsi="Times New Roman" w:cs="Times New Roman"/>
          <w:sz w:val="24"/>
          <w:szCs w:val="24"/>
        </w:rPr>
        <w:t xml:space="preserve"> </w:t>
      </w:r>
      <w:proofErr w:type="gramStart"/>
      <w:r w:rsidRPr="00637775">
        <w:rPr>
          <w:rFonts w:ascii="Times New Roman" w:hAnsi="Times New Roman" w:cs="Times New Roman"/>
          <w:sz w:val="24"/>
          <w:szCs w:val="24"/>
        </w:rPr>
        <w:t>US Air Force Academy USAFA United States.</w:t>
      </w:r>
      <w:proofErr w:type="gramEnd"/>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gramStart"/>
      <w:r w:rsidRPr="00637775">
        <w:rPr>
          <w:rFonts w:ascii="Times New Roman" w:hAnsi="Times New Roman" w:cs="Times New Roman"/>
          <w:sz w:val="24"/>
          <w:szCs w:val="24"/>
        </w:rPr>
        <w:t>Kerzner, H., &amp; Kerzner, H. R. (2017).</w:t>
      </w:r>
      <w:proofErr w:type="gramEnd"/>
      <w:r w:rsidRPr="00637775">
        <w:rPr>
          <w:rFonts w:ascii="Times New Roman" w:hAnsi="Times New Roman" w:cs="Times New Roman"/>
          <w:sz w:val="24"/>
          <w:szCs w:val="24"/>
        </w:rPr>
        <w:t xml:space="preserve"> Project management: a systems approach to planning, scheduling, and controlling. </w:t>
      </w:r>
      <w:proofErr w:type="gramStart"/>
      <w:r w:rsidRPr="00637775">
        <w:rPr>
          <w:rFonts w:ascii="Times New Roman" w:hAnsi="Times New Roman" w:cs="Times New Roman"/>
          <w:sz w:val="24"/>
          <w:szCs w:val="24"/>
        </w:rPr>
        <w:t>John Wiley &amp; Sons.</w:t>
      </w:r>
      <w:proofErr w:type="gramEnd"/>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spellStart"/>
      <w:r w:rsidRPr="00637775">
        <w:rPr>
          <w:rFonts w:ascii="Times New Roman" w:hAnsi="Times New Roman" w:cs="Times New Roman"/>
          <w:sz w:val="24"/>
          <w:szCs w:val="24"/>
        </w:rPr>
        <w:t>Nas</w:t>
      </w:r>
      <w:proofErr w:type="spellEnd"/>
      <w:r w:rsidRPr="00637775">
        <w:rPr>
          <w:rFonts w:ascii="Times New Roman" w:hAnsi="Times New Roman" w:cs="Times New Roman"/>
          <w:sz w:val="24"/>
          <w:szCs w:val="24"/>
        </w:rPr>
        <w:t xml:space="preserve">, T. F. (2016). Cost-benefit analysis: Theory and application. </w:t>
      </w:r>
      <w:proofErr w:type="gramStart"/>
      <w:r w:rsidRPr="00637775">
        <w:rPr>
          <w:rFonts w:ascii="Times New Roman" w:hAnsi="Times New Roman" w:cs="Times New Roman"/>
          <w:sz w:val="24"/>
          <w:szCs w:val="24"/>
        </w:rPr>
        <w:t>Lexington Books.</w:t>
      </w:r>
      <w:proofErr w:type="gramEnd"/>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spellStart"/>
      <w:r w:rsidRPr="00637775">
        <w:rPr>
          <w:rFonts w:ascii="Times New Roman" w:hAnsi="Times New Roman" w:cs="Times New Roman"/>
          <w:sz w:val="24"/>
          <w:szCs w:val="24"/>
        </w:rPr>
        <w:t>Papavasiliou</w:t>
      </w:r>
      <w:proofErr w:type="spellEnd"/>
      <w:r w:rsidRPr="00637775">
        <w:rPr>
          <w:rFonts w:ascii="Times New Roman" w:hAnsi="Times New Roman" w:cs="Times New Roman"/>
          <w:sz w:val="24"/>
          <w:szCs w:val="24"/>
        </w:rPr>
        <w:t xml:space="preserve">, A., &amp; Oren, S. S. (2014). </w:t>
      </w:r>
      <w:proofErr w:type="gramStart"/>
      <w:r w:rsidRPr="00637775">
        <w:rPr>
          <w:rFonts w:ascii="Times New Roman" w:hAnsi="Times New Roman" w:cs="Times New Roman"/>
          <w:sz w:val="24"/>
          <w:szCs w:val="24"/>
        </w:rPr>
        <w:t>Large-scale integration of deferrable demand and renewable energy sources.</w:t>
      </w:r>
      <w:proofErr w:type="gramEnd"/>
      <w:r w:rsidRPr="00637775">
        <w:rPr>
          <w:rFonts w:ascii="Times New Roman" w:hAnsi="Times New Roman" w:cs="Times New Roman"/>
          <w:sz w:val="24"/>
          <w:szCs w:val="24"/>
        </w:rPr>
        <w:t xml:space="preserve"> IEEE Transactions on Power Systems, 29(1), 489-499.</w:t>
      </w:r>
    </w:p>
    <w:p w:rsidR="00637775" w:rsidRPr="00637775" w:rsidRDefault="00637775" w:rsidP="00637775">
      <w:pPr>
        <w:pStyle w:val="NoSpacing"/>
        <w:spacing w:line="480" w:lineRule="auto"/>
        <w:ind w:left="720" w:hanging="720"/>
        <w:rPr>
          <w:rFonts w:ascii="Times New Roman" w:hAnsi="Times New Roman" w:cs="Times New Roman"/>
          <w:sz w:val="24"/>
          <w:szCs w:val="24"/>
        </w:rPr>
      </w:pPr>
      <w:proofErr w:type="gramStart"/>
      <w:r w:rsidRPr="00637775">
        <w:rPr>
          <w:rFonts w:ascii="Times New Roman" w:hAnsi="Times New Roman" w:cs="Times New Roman"/>
          <w:sz w:val="24"/>
          <w:szCs w:val="24"/>
        </w:rPr>
        <w:t>Reck,</w:t>
      </w:r>
      <w:proofErr w:type="gramEnd"/>
      <w:r w:rsidRPr="00637775">
        <w:rPr>
          <w:rFonts w:ascii="Times New Roman" w:hAnsi="Times New Roman" w:cs="Times New Roman"/>
          <w:sz w:val="24"/>
          <w:szCs w:val="24"/>
        </w:rPr>
        <w:t xml:space="preserve"> J. L., &amp; Wilson, E. R. (2014). The relative influence of fund-based and government-wide financial information on municipal bond borrowing costs. Journal of Governmental &amp; Nonprofit Accounting, 3(1), 35-57.</w:t>
      </w:r>
    </w:p>
    <w:p w:rsidR="00637775" w:rsidRPr="00637775" w:rsidRDefault="00637775" w:rsidP="00637775">
      <w:pPr>
        <w:pStyle w:val="NoSpacing"/>
        <w:spacing w:line="480" w:lineRule="auto"/>
        <w:ind w:left="720" w:hanging="720"/>
        <w:rPr>
          <w:rFonts w:ascii="Times New Roman" w:hAnsi="Times New Roman" w:cs="Times New Roman"/>
          <w:sz w:val="24"/>
          <w:szCs w:val="24"/>
        </w:rPr>
      </w:pPr>
      <w:r w:rsidRPr="00637775">
        <w:rPr>
          <w:rFonts w:ascii="Times New Roman" w:hAnsi="Times New Roman" w:cs="Times New Roman"/>
          <w:sz w:val="24"/>
          <w:szCs w:val="24"/>
        </w:rPr>
        <w:t xml:space="preserve">Roche, M. A., Duffield, C. M., Homer, C., Buchan, J., &amp; </w:t>
      </w:r>
      <w:proofErr w:type="spellStart"/>
      <w:r w:rsidRPr="00637775">
        <w:rPr>
          <w:rFonts w:ascii="Times New Roman" w:hAnsi="Times New Roman" w:cs="Times New Roman"/>
          <w:sz w:val="24"/>
          <w:szCs w:val="24"/>
        </w:rPr>
        <w:t>Dimitrelis</w:t>
      </w:r>
      <w:proofErr w:type="spellEnd"/>
      <w:r w:rsidRPr="00637775">
        <w:rPr>
          <w:rFonts w:ascii="Times New Roman" w:hAnsi="Times New Roman" w:cs="Times New Roman"/>
          <w:sz w:val="24"/>
          <w:szCs w:val="24"/>
        </w:rPr>
        <w:t xml:space="preserve">, S. (2015). </w:t>
      </w:r>
      <w:proofErr w:type="gramStart"/>
      <w:r w:rsidRPr="00637775">
        <w:rPr>
          <w:rFonts w:ascii="Times New Roman" w:hAnsi="Times New Roman" w:cs="Times New Roman"/>
          <w:sz w:val="24"/>
          <w:szCs w:val="24"/>
        </w:rPr>
        <w:t>The rate and cost of nurse turnover in Australia.</w:t>
      </w:r>
      <w:proofErr w:type="gramEnd"/>
      <w:r w:rsidRPr="00637775">
        <w:rPr>
          <w:rFonts w:ascii="Times New Roman" w:hAnsi="Times New Roman" w:cs="Times New Roman"/>
          <w:sz w:val="24"/>
          <w:szCs w:val="24"/>
        </w:rPr>
        <w:t xml:space="preserve"> Collegian, 22(4), 353-358.</w:t>
      </w:r>
    </w:p>
    <w:sectPr w:rsidR="00637775" w:rsidRPr="00637775" w:rsidSect="002700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5F4" w:rsidRDefault="008305F4" w:rsidP="00270074">
      <w:pPr>
        <w:spacing w:after="0" w:line="240" w:lineRule="auto"/>
      </w:pPr>
      <w:r>
        <w:separator/>
      </w:r>
    </w:p>
  </w:endnote>
  <w:endnote w:type="continuationSeparator" w:id="0">
    <w:p w:rsidR="008305F4" w:rsidRDefault="008305F4" w:rsidP="00270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5F4" w:rsidRDefault="008305F4" w:rsidP="00270074">
      <w:pPr>
        <w:spacing w:after="0" w:line="240" w:lineRule="auto"/>
      </w:pPr>
      <w:r>
        <w:separator/>
      </w:r>
    </w:p>
  </w:footnote>
  <w:footnote w:type="continuationSeparator" w:id="0">
    <w:p w:rsidR="008305F4" w:rsidRDefault="008305F4" w:rsidP="00270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4317852"/>
      <w:docPartObj>
        <w:docPartGallery w:val="Page Numbers (Top of Page)"/>
        <w:docPartUnique/>
      </w:docPartObj>
    </w:sdtPr>
    <w:sdtEndPr>
      <w:rPr>
        <w:noProof/>
      </w:rPr>
    </w:sdtEndPr>
    <w:sdtContent>
      <w:p w:rsidR="00C96FD6" w:rsidRPr="00C96FD6" w:rsidRDefault="00C96FD6">
        <w:pPr>
          <w:pStyle w:val="Header"/>
          <w:rPr>
            <w:rFonts w:ascii="Times New Roman" w:hAnsi="Times New Roman" w:cs="Times New Roman"/>
            <w:sz w:val="24"/>
            <w:szCs w:val="24"/>
          </w:rPr>
        </w:pPr>
        <w:r w:rsidRPr="00C96FD6">
          <w:rPr>
            <w:rFonts w:ascii="Times New Roman" w:hAnsi="Times New Roman" w:cs="Times New Roman"/>
            <w:sz w:val="24"/>
            <w:szCs w:val="24"/>
          </w:rPr>
          <w:t xml:space="preserve">GRADUATE COURSE DISSCUSION </w:t>
        </w:r>
        <w:r w:rsidRPr="00C96FD6">
          <w:rPr>
            <w:rFonts w:ascii="Times New Roman" w:hAnsi="Times New Roman" w:cs="Times New Roman"/>
            <w:sz w:val="24"/>
            <w:szCs w:val="24"/>
          </w:rPr>
          <w:tab/>
        </w:r>
        <w:r w:rsidRPr="00C96FD6">
          <w:rPr>
            <w:rFonts w:ascii="Times New Roman" w:hAnsi="Times New Roman" w:cs="Times New Roman"/>
            <w:sz w:val="24"/>
            <w:szCs w:val="24"/>
          </w:rPr>
          <w:tab/>
        </w:r>
        <w:r w:rsidRPr="00C96FD6">
          <w:rPr>
            <w:rFonts w:ascii="Times New Roman" w:hAnsi="Times New Roman" w:cs="Times New Roman"/>
            <w:sz w:val="24"/>
            <w:szCs w:val="24"/>
          </w:rPr>
          <w:fldChar w:fldCharType="begin"/>
        </w:r>
        <w:r w:rsidRPr="00C96FD6">
          <w:rPr>
            <w:rFonts w:ascii="Times New Roman" w:hAnsi="Times New Roman" w:cs="Times New Roman"/>
            <w:sz w:val="24"/>
            <w:szCs w:val="24"/>
          </w:rPr>
          <w:instrText xml:space="preserve"> PAGE   \* MERGEFORMAT </w:instrText>
        </w:r>
        <w:r w:rsidRPr="00C96FD6">
          <w:rPr>
            <w:rFonts w:ascii="Times New Roman" w:hAnsi="Times New Roman" w:cs="Times New Roman"/>
            <w:sz w:val="24"/>
            <w:szCs w:val="24"/>
          </w:rPr>
          <w:fldChar w:fldCharType="separate"/>
        </w:r>
        <w:r w:rsidR="00EE7D78">
          <w:rPr>
            <w:rFonts w:ascii="Times New Roman" w:hAnsi="Times New Roman" w:cs="Times New Roman"/>
            <w:noProof/>
            <w:sz w:val="24"/>
            <w:szCs w:val="24"/>
          </w:rPr>
          <w:t>6</w:t>
        </w:r>
        <w:r w:rsidRPr="00C96FD6">
          <w:rPr>
            <w:rFonts w:ascii="Times New Roman" w:hAnsi="Times New Roman" w:cs="Times New Roman"/>
            <w:noProof/>
            <w:sz w:val="24"/>
            <w:szCs w:val="24"/>
          </w:rPr>
          <w:fldChar w:fldCharType="end"/>
        </w:r>
      </w:p>
    </w:sdtContent>
  </w:sdt>
  <w:p w:rsidR="00C96FD6" w:rsidRPr="00C96FD6" w:rsidRDefault="00C96FD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074" w:rsidRPr="00270074" w:rsidRDefault="00270074">
    <w:pPr>
      <w:pStyle w:val="Header"/>
      <w:rPr>
        <w:rFonts w:ascii="Times New Roman" w:hAnsi="Times New Roman" w:cs="Times New Roman"/>
        <w:sz w:val="24"/>
        <w:szCs w:val="24"/>
      </w:rPr>
    </w:pPr>
    <w:r w:rsidRPr="00270074">
      <w:rPr>
        <w:rFonts w:ascii="Times New Roman" w:hAnsi="Times New Roman" w:cs="Times New Roman"/>
        <w:sz w:val="24"/>
        <w:szCs w:val="24"/>
      </w:rPr>
      <w:t>Running Head: GRADUATE COURSE DIS</w:t>
    </w:r>
    <w:r>
      <w:rPr>
        <w:rFonts w:ascii="Times New Roman" w:hAnsi="Times New Roman" w:cs="Times New Roman"/>
        <w:sz w:val="24"/>
        <w:szCs w:val="24"/>
      </w:rPr>
      <w:t>S</w:t>
    </w:r>
    <w:r w:rsidRPr="00270074">
      <w:rPr>
        <w:rFonts w:ascii="Times New Roman" w:hAnsi="Times New Roman" w:cs="Times New Roman"/>
        <w:sz w:val="24"/>
        <w:szCs w:val="24"/>
      </w:rPr>
      <w:t>CUSION</w:t>
    </w:r>
    <w:r w:rsidRPr="00270074">
      <w:rPr>
        <w:rFonts w:ascii="Times New Roman" w:hAnsi="Times New Roman" w:cs="Times New Roman"/>
        <w:sz w:val="24"/>
        <w:szCs w:val="24"/>
      </w:rPr>
      <w:tab/>
    </w:r>
    <w:r w:rsidRPr="00270074">
      <w:rPr>
        <w:rFonts w:ascii="Times New Roman" w:hAnsi="Times New Roman" w:cs="Times New Roman"/>
        <w:sz w:val="24"/>
        <w:szCs w:val="24"/>
      </w:rPr>
      <w:tab/>
    </w:r>
    <w:sdt>
      <w:sdtPr>
        <w:rPr>
          <w:rFonts w:ascii="Times New Roman" w:hAnsi="Times New Roman" w:cs="Times New Roman"/>
          <w:sz w:val="24"/>
          <w:szCs w:val="24"/>
        </w:rPr>
        <w:id w:val="-716902815"/>
        <w:docPartObj>
          <w:docPartGallery w:val="Page Numbers (Top of Page)"/>
          <w:docPartUnique/>
        </w:docPartObj>
      </w:sdtPr>
      <w:sdtEndPr>
        <w:rPr>
          <w:noProof/>
        </w:rPr>
      </w:sdtEndPr>
      <w:sdtContent>
        <w:r w:rsidRPr="00270074">
          <w:rPr>
            <w:rFonts w:ascii="Times New Roman" w:hAnsi="Times New Roman" w:cs="Times New Roman"/>
            <w:sz w:val="24"/>
            <w:szCs w:val="24"/>
          </w:rPr>
          <w:fldChar w:fldCharType="begin"/>
        </w:r>
        <w:r w:rsidRPr="00270074">
          <w:rPr>
            <w:rFonts w:ascii="Times New Roman" w:hAnsi="Times New Roman" w:cs="Times New Roman"/>
            <w:sz w:val="24"/>
            <w:szCs w:val="24"/>
          </w:rPr>
          <w:instrText xml:space="preserve"> PAGE   \* MERGEFORMAT </w:instrText>
        </w:r>
        <w:r w:rsidRPr="00270074">
          <w:rPr>
            <w:rFonts w:ascii="Times New Roman" w:hAnsi="Times New Roman" w:cs="Times New Roman"/>
            <w:sz w:val="24"/>
            <w:szCs w:val="24"/>
          </w:rPr>
          <w:fldChar w:fldCharType="separate"/>
        </w:r>
        <w:r w:rsidR="00EE7D78">
          <w:rPr>
            <w:rFonts w:ascii="Times New Roman" w:hAnsi="Times New Roman" w:cs="Times New Roman"/>
            <w:noProof/>
            <w:sz w:val="24"/>
            <w:szCs w:val="24"/>
          </w:rPr>
          <w:t>1</w:t>
        </w:r>
        <w:r w:rsidRPr="00270074">
          <w:rPr>
            <w:rFonts w:ascii="Times New Roman" w:hAnsi="Times New Roman" w:cs="Times New Roman"/>
            <w:noProof/>
            <w:sz w:val="24"/>
            <w:szCs w:val="24"/>
          </w:rPr>
          <w:fldChar w:fldCharType="end"/>
        </w:r>
      </w:sdtContent>
    </w:sdt>
  </w:p>
  <w:p w:rsidR="00270074" w:rsidRPr="00270074" w:rsidRDefault="0027007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15FDA"/>
    <w:multiLevelType w:val="hybridMultilevel"/>
    <w:tmpl w:val="2FCACDF8"/>
    <w:lvl w:ilvl="0" w:tplc="18805FCA">
      <w:start w:val="1"/>
      <w:numFmt w:val="decimal"/>
      <w:lvlText w:val="%1."/>
      <w:lvlJc w:val="left"/>
      <w:pPr>
        <w:ind w:left="81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2FF6EE7"/>
    <w:multiLevelType w:val="hybridMultilevel"/>
    <w:tmpl w:val="46CEA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3NzQytzSwMDMzMrZU0lEKTi0uzszPAykwqgUAFoAE8ywAAAA="/>
  </w:docVars>
  <w:rsids>
    <w:rsidRoot w:val="00D35135"/>
    <w:rsid w:val="001A6088"/>
    <w:rsid w:val="00270074"/>
    <w:rsid w:val="002C27D7"/>
    <w:rsid w:val="00303E1D"/>
    <w:rsid w:val="003654BA"/>
    <w:rsid w:val="003B30CF"/>
    <w:rsid w:val="00637775"/>
    <w:rsid w:val="00776992"/>
    <w:rsid w:val="008305F4"/>
    <w:rsid w:val="008549C4"/>
    <w:rsid w:val="00906FF3"/>
    <w:rsid w:val="009A5980"/>
    <w:rsid w:val="009A70AB"/>
    <w:rsid w:val="00AF1345"/>
    <w:rsid w:val="00B00EAF"/>
    <w:rsid w:val="00BB11FB"/>
    <w:rsid w:val="00C221C1"/>
    <w:rsid w:val="00C22966"/>
    <w:rsid w:val="00C96FD6"/>
    <w:rsid w:val="00D35135"/>
    <w:rsid w:val="00D42329"/>
    <w:rsid w:val="00D637C0"/>
    <w:rsid w:val="00DE3E2D"/>
    <w:rsid w:val="00E2412A"/>
    <w:rsid w:val="00EE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135"/>
  </w:style>
  <w:style w:type="paragraph" w:styleId="Heading1">
    <w:name w:val="heading 1"/>
    <w:basedOn w:val="Normal"/>
    <w:next w:val="Normal"/>
    <w:link w:val="Heading1Char"/>
    <w:uiPriority w:val="9"/>
    <w:qFormat/>
    <w:rsid w:val="007769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9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654BA"/>
    <w:pPr>
      <w:ind w:left="720"/>
      <w:contextualSpacing/>
    </w:pPr>
  </w:style>
  <w:style w:type="paragraph" w:styleId="Header">
    <w:name w:val="header"/>
    <w:basedOn w:val="Normal"/>
    <w:link w:val="HeaderChar"/>
    <w:uiPriority w:val="99"/>
    <w:unhideWhenUsed/>
    <w:rsid w:val="00270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074"/>
  </w:style>
  <w:style w:type="paragraph" w:styleId="Footer">
    <w:name w:val="footer"/>
    <w:basedOn w:val="Normal"/>
    <w:link w:val="FooterChar"/>
    <w:uiPriority w:val="99"/>
    <w:unhideWhenUsed/>
    <w:rsid w:val="00270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074"/>
  </w:style>
  <w:style w:type="paragraph" w:styleId="NoSpacing">
    <w:name w:val="No Spacing"/>
    <w:uiPriority w:val="1"/>
    <w:qFormat/>
    <w:rsid w:val="0063777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135"/>
  </w:style>
  <w:style w:type="paragraph" w:styleId="Heading1">
    <w:name w:val="heading 1"/>
    <w:basedOn w:val="Normal"/>
    <w:next w:val="Normal"/>
    <w:link w:val="Heading1Char"/>
    <w:uiPriority w:val="9"/>
    <w:qFormat/>
    <w:rsid w:val="007769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9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654BA"/>
    <w:pPr>
      <w:ind w:left="720"/>
      <w:contextualSpacing/>
    </w:pPr>
  </w:style>
  <w:style w:type="paragraph" w:styleId="Header">
    <w:name w:val="header"/>
    <w:basedOn w:val="Normal"/>
    <w:link w:val="HeaderChar"/>
    <w:uiPriority w:val="99"/>
    <w:unhideWhenUsed/>
    <w:rsid w:val="00270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074"/>
  </w:style>
  <w:style w:type="paragraph" w:styleId="Footer">
    <w:name w:val="footer"/>
    <w:basedOn w:val="Normal"/>
    <w:link w:val="FooterChar"/>
    <w:uiPriority w:val="99"/>
    <w:unhideWhenUsed/>
    <w:rsid w:val="00270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074"/>
  </w:style>
  <w:style w:type="paragraph" w:styleId="NoSpacing">
    <w:name w:val="No Spacing"/>
    <w:uiPriority w:val="1"/>
    <w:qFormat/>
    <w:rsid w:val="006377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22394">
      <w:bodyDiv w:val="1"/>
      <w:marLeft w:val="0"/>
      <w:marRight w:val="0"/>
      <w:marTop w:val="0"/>
      <w:marBottom w:val="0"/>
      <w:divBdr>
        <w:top w:val="none" w:sz="0" w:space="0" w:color="auto"/>
        <w:left w:val="none" w:sz="0" w:space="0" w:color="auto"/>
        <w:bottom w:val="none" w:sz="0" w:space="0" w:color="auto"/>
        <w:right w:val="none" w:sz="0" w:space="0" w:color="auto"/>
      </w:divBdr>
      <w:divsChild>
        <w:div w:id="1421491288">
          <w:marLeft w:val="0"/>
          <w:marRight w:val="0"/>
          <w:marTop w:val="0"/>
          <w:marBottom w:val="0"/>
          <w:divBdr>
            <w:top w:val="none" w:sz="0" w:space="0" w:color="auto"/>
            <w:left w:val="none" w:sz="0" w:space="0" w:color="auto"/>
            <w:bottom w:val="none" w:sz="0" w:space="0" w:color="auto"/>
            <w:right w:val="none" w:sz="0" w:space="0" w:color="auto"/>
          </w:divBdr>
        </w:div>
      </w:divsChild>
    </w:div>
    <w:div w:id="63950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CSOSA</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Grad Student</dc:creator>
  <cp:lastModifiedBy>d</cp:lastModifiedBy>
  <cp:revision>3</cp:revision>
  <dcterms:created xsi:type="dcterms:W3CDTF">2018-11-15T19:29:00Z</dcterms:created>
  <dcterms:modified xsi:type="dcterms:W3CDTF">2018-11-16T04:03:00Z</dcterms:modified>
</cp:coreProperties>
</file>